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40EE">
      <w:pPr>
        <w:pStyle w:val="16"/>
        <w:wordWrap w:val="0"/>
        <w:jc w:val="right"/>
        <w:rPr>
          <w:rStyle w:val="17"/>
          <w:rFonts w:ascii="仿宋" w:hAnsi="仿宋" w:eastAsia="仿宋" w:cs="Kaiti SC Bold"/>
          <w:b/>
          <w:sz w:val="24"/>
          <w:szCs w:val="24"/>
        </w:rPr>
      </w:pPr>
      <w:bookmarkStart w:id="0" w:name="_Toc208661382"/>
      <w:bookmarkStart w:id="1" w:name="_Toc208661385"/>
      <w:r>
        <w:rPr>
          <w:rStyle w:val="17"/>
          <w:rFonts w:hint="eastAsia" w:ascii="仿宋" w:hAnsi="仿宋" w:eastAsia="仿宋" w:cs="楷体_GB2312"/>
          <w:b/>
          <w:bCs/>
          <w:sz w:val="24"/>
          <w:szCs w:val="24"/>
        </w:rPr>
        <w:t>合同</w:t>
      </w:r>
      <w:r>
        <w:rPr>
          <w:rStyle w:val="17"/>
          <w:rFonts w:hint="eastAsia" w:ascii="仿宋" w:hAnsi="仿宋" w:eastAsia="仿宋"/>
          <w:b/>
          <w:sz w:val="24"/>
          <w:szCs w:val="24"/>
          <w:lang w:val="zh-TW" w:eastAsia="zh-TW"/>
        </w:rPr>
        <w:t>编号：</w:t>
      </w:r>
      <w:r>
        <w:rPr>
          <w:rStyle w:val="17"/>
          <w:rFonts w:hint="eastAsia" w:ascii="仿宋" w:hAnsi="仿宋" w:eastAsia="仿宋"/>
          <w:b/>
          <w:sz w:val="24"/>
          <w:u w:val="single"/>
          <w:lang w:val="zh-TW"/>
        </w:rPr>
        <w:t xml:space="preserve">                   </w:t>
      </w:r>
    </w:p>
    <w:p w14:paraId="7AEBFD04">
      <w:pPr>
        <w:pStyle w:val="16"/>
        <w:spacing w:line="360" w:lineRule="auto"/>
        <w:jc w:val="center"/>
        <w:rPr>
          <w:rStyle w:val="17"/>
          <w:rFonts w:ascii="仿宋" w:hAnsi="仿宋" w:eastAsia="仿宋" w:cs="Kaiti SC Bold"/>
          <w:sz w:val="18"/>
          <w:szCs w:val="18"/>
        </w:rPr>
      </w:pPr>
    </w:p>
    <w:p w14:paraId="52FBB9C0">
      <w:pPr>
        <w:pStyle w:val="16"/>
        <w:spacing w:line="360" w:lineRule="auto"/>
        <w:jc w:val="center"/>
        <w:rPr>
          <w:rStyle w:val="17"/>
          <w:rFonts w:ascii="仿宋" w:hAnsi="仿宋" w:eastAsia="仿宋" w:cs="Kaiti SC Bold"/>
          <w:sz w:val="18"/>
          <w:szCs w:val="18"/>
        </w:rPr>
      </w:pPr>
    </w:p>
    <w:p w14:paraId="2BEB3B5B">
      <w:pPr>
        <w:pStyle w:val="16"/>
        <w:spacing w:line="360" w:lineRule="auto"/>
        <w:rPr>
          <w:rStyle w:val="17"/>
          <w:rFonts w:ascii="仿宋" w:hAnsi="仿宋" w:eastAsia="仿宋" w:cs="Kaiti SC Bold"/>
          <w:b/>
          <w:color w:val="auto"/>
          <w:sz w:val="72"/>
          <w:szCs w:val="72"/>
          <w:lang w:val="zh-TW"/>
        </w:rPr>
      </w:pPr>
      <w:r>
        <w:rPr>
          <w:rStyle w:val="17"/>
          <w:rFonts w:hint="eastAsia" w:ascii="仿宋" w:hAnsi="仿宋" w:eastAsia="仿宋" w:cs="Kaiti SC Bold"/>
          <w:b/>
          <w:color w:val="auto"/>
          <w:sz w:val="72"/>
          <w:szCs w:val="72"/>
          <w:lang w:val="zh-TW"/>
        </w:rPr>
        <w:t xml:space="preserve">    </w:t>
      </w:r>
    </w:p>
    <w:p w14:paraId="39F70306">
      <w:pPr>
        <w:pStyle w:val="16"/>
        <w:spacing w:line="360" w:lineRule="auto"/>
        <w:rPr>
          <w:rStyle w:val="17"/>
          <w:rFonts w:ascii="仿宋" w:hAnsi="仿宋" w:eastAsia="仿宋" w:cs="Kaiti SC Bold"/>
          <w:b/>
          <w:color w:val="auto"/>
          <w:sz w:val="48"/>
          <w:szCs w:val="48"/>
          <w:lang w:val="zh-TW"/>
        </w:rPr>
      </w:pPr>
    </w:p>
    <w:p w14:paraId="50BA8EEE">
      <w:pPr>
        <w:pStyle w:val="16"/>
        <w:spacing w:line="360" w:lineRule="auto"/>
        <w:jc w:val="center"/>
        <w:rPr>
          <w:rStyle w:val="17"/>
          <w:rFonts w:ascii="仿宋" w:hAnsi="仿宋" w:eastAsia="仿宋" w:cs="Kaiti SC Bold"/>
          <w:b/>
          <w:color w:val="auto"/>
          <w:sz w:val="48"/>
          <w:szCs w:val="48"/>
        </w:rPr>
      </w:pPr>
      <w:r>
        <w:rPr>
          <w:rFonts w:hint="eastAsia" w:ascii="仿宋" w:hAnsi="仿宋" w:eastAsia="仿宋" w:cs="Kaiti SC Bold"/>
          <w:b/>
          <w:color w:val="auto"/>
          <w:sz w:val="48"/>
          <w:szCs w:val="48"/>
        </w:rPr>
        <w:drawing>
          <wp:inline distT="0" distB="0" distL="0" distR="0">
            <wp:extent cx="5267325" cy="2152650"/>
            <wp:effectExtent l="19050" t="0" r="9525" b="0"/>
            <wp:docPr id="1" name="图片 1" descr="微信图片_2020091515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151527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C7881">
      <w:pPr>
        <w:jc w:val="center"/>
        <w:rPr>
          <w:rFonts w:ascii="仿宋" w:hAnsi="仿宋" w:eastAsia="仿宋"/>
          <w:b/>
          <w:sz w:val="52"/>
          <w:szCs w:val="52"/>
        </w:rPr>
      </w:pPr>
    </w:p>
    <w:p w14:paraId="55192FC9">
      <w:pPr>
        <w:jc w:val="center"/>
        <w:rPr>
          <w:rFonts w:ascii="华文行楷" w:hAnsi="仿宋" w:eastAsia="华文行楷"/>
          <w:b/>
          <w:sz w:val="52"/>
          <w:szCs w:val="52"/>
        </w:rPr>
      </w:pPr>
      <w:r>
        <w:rPr>
          <w:rFonts w:hint="eastAsia" w:ascii="华文行楷" w:hAnsi="仿宋" w:eastAsia="华文行楷"/>
          <w:b/>
          <w:sz w:val="52"/>
          <w:szCs w:val="52"/>
        </w:rPr>
        <w:t>刑事案件法律帮助、辩护委托合同</w:t>
      </w:r>
    </w:p>
    <w:p w14:paraId="7B47A39F">
      <w:pPr>
        <w:pStyle w:val="16"/>
        <w:spacing w:line="360" w:lineRule="auto"/>
        <w:jc w:val="center"/>
        <w:rPr>
          <w:rStyle w:val="17"/>
          <w:rFonts w:ascii="仿宋" w:hAnsi="仿宋" w:eastAsia="仿宋" w:cs="Kaiti SC Bold"/>
          <w:b/>
          <w:color w:val="auto"/>
          <w:sz w:val="48"/>
          <w:szCs w:val="48"/>
        </w:rPr>
      </w:pPr>
    </w:p>
    <w:p w14:paraId="34A9706D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</w:p>
    <w:p w14:paraId="6FF06381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</w:p>
    <w:p w14:paraId="2B9908FE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</w:p>
    <w:p w14:paraId="142319F2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</w:p>
    <w:p w14:paraId="4525C5B7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</w:p>
    <w:p w14:paraId="50D6D85E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</w:p>
    <w:p w14:paraId="266D2D12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  <w:r>
        <w:rPr>
          <w:rStyle w:val="17"/>
          <w:rFonts w:hint="eastAsia" w:ascii="仿宋" w:hAnsi="仿宋" w:eastAsia="仿宋" w:cs="仿宋"/>
          <w:b/>
          <w:bCs/>
          <w:sz w:val="28"/>
          <w:szCs w:val="28"/>
        </w:rPr>
        <w:t>电话：010-508203165</w:t>
      </w:r>
    </w:p>
    <w:p w14:paraId="107213F0">
      <w:pPr>
        <w:pStyle w:val="15"/>
        <w:widowControl/>
        <w:spacing w:line="360" w:lineRule="auto"/>
        <w:jc w:val="center"/>
        <w:rPr>
          <w:rStyle w:val="17"/>
          <w:rFonts w:ascii="仿宋" w:hAnsi="仿宋" w:eastAsia="仿宋" w:cs="仿宋"/>
          <w:b/>
          <w:bCs/>
          <w:sz w:val="28"/>
          <w:szCs w:val="28"/>
        </w:rPr>
      </w:pPr>
      <w:r>
        <w:rPr>
          <w:rStyle w:val="17"/>
          <w:rFonts w:ascii="仿宋" w:hAnsi="仿宋" w:eastAsia="仿宋" w:cs="仿宋"/>
          <w:b/>
          <w:bCs/>
          <w:sz w:val="28"/>
          <w:szCs w:val="28"/>
        </w:rPr>
        <w:t>地址:</w:t>
      </w:r>
      <w:r>
        <w:rPr>
          <w:rStyle w:val="17"/>
          <w:rFonts w:hint="eastAsia" w:ascii="仿宋" w:hAnsi="仿宋" w:eastAsia="仿宋" w:cs="仿宋"/>
          <w:b/>
          <w:bCs/>
          <w:sz w:val="28"/>
          <w:szCs w:val="28"/>
        </w:rPr>
        <w:t xml:space="preserve"> 北京市朝阳区建国路93号万达广场10号楼1706</w:t>
      </w:r>
    </w:p>
    <w:p w14:paraId="2942A20B">
      <w:pPr>
        <w:pStyle w:val="16"/>
        <w:spacing w:line="360" w:lineRule="auto"/>
        <w:rPr>
          <w:rStyle w:val="17"/>
          <w:rFonts w:ascii="仿宋" w:hAnsi="仿宋" w:eastAsia="仿宋" w:cs="Kaiti SC Bold"/>
          <w:b/>
          <w:sz w:val="72"/>
          <w:szCs w:val="72"/>
        </w:rPr>
      </w:pPr>
    </w:p>
    <w:bookmarkEnd w:id="0"/>
    <w:p w14:paraId="74340953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刑事案件法律帮助、辩护委托合同</w:t>
      </w:r>
      <w:bookmarkEnd w:id="1"/>
    </w:p>
    <w:p w14:paraId="16FAE648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（侦查阶段、审查起诉阶段、一审和二审）</w:t>
      </w:r>
    </w:p>
    <w:p w14:paraId="206DFF87">
      <w:pPr>
        <w:spacing w:line="54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甲</w:t>
      </w:r>
      <w:r>
        <w:rPr>
          <w:rFonts w:ascii="仿宋" w:hAnsi="仿宋" w:eastAsia="仿宋" w:cs="仿宋_GB2312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方 : </w:t>
      </w:r>
      <w:r>
        <w:rPr>
          <w:rFonts w:hint="eastAsia" w:ascii="宋体" w:hAnsi="宋体" w:eastAsia="仿宋"/>
          <w:b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仿宋"/>
          <w:b/>
          <w:kern w:val="0"/>
          <w:sz w:val="28"/>
          <w:szCs w:val="28"/>
        </w:rPr>
        <w:t xml:space="preserve">身份证号： </w:t>
      </w:r>
      <w:r>
        <w:rPr>
          <w:rFonts w:hint="eastAsia" w:ascii="宋体" w:hAnsi="宋体" w:eastAsia="仿宋"/>
          <w:b/>
          <w:kern w:val="0"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           </w:t>
      </w:r>
    </w:p>
    <w:p w14:paraId="7F294D8E">
      <w:pPr>
        <w:spacing w:line="420" w:lineRule="exact"/>
        <w:rPr>
          <w:rFonts w:ascii="仿宋" w:hAnsi="仿宋" w:eastAsia="仿宋"/>
          <w:b/>
          <w:sz w:val="28"/>
          <w:szCs w:val="28"/>
        </w:rPr>
      </w:pPr>
    </w:p>
    <w:p w14:paraId="647ACF2B">
      <w:pPr>
        <w:spacing w:line="42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乙 方：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北京凯耀律师事务所 </w:t>
      </w:r>
    </w:p>
    <w:p w14:paraId="56D237E4">
      <w:pPr>
        <w:spacing w:line="460" w:lineRule="exact"/>
        <w:rPr>
          <w:rFonts w:ascii="仿宋" w:hAnsi="仿宋" w:eastAsia="仿宋"/>
          <w:sz w:val="28"/>
          <w:szCs w:val="28"/>
        </w:rPr>
      </w:pPr>
    </w:p>
    <w:p w14:paraId="3DCFFC8D">
      <w:pPr>
        <w:spacing w:line="360" w:lineRule="auto"/>
        <w:ind w:firstLine="758" w:firstLineChars="27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因涉嫌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侵犯公民个人信息罪</w:t>
      </w:r>
      <w:r>
        <w:rPr>
          <w:rFonts w:hint="eastAsia" w:ascii="仿宋" w:hAnsi="仿宋" w:eastAsia="仿宋"/>
          <w:kern w:val="0"/>
          <w:sz w:val="28"/>
          <w:szCs w:val="28"/>
        </w:rPr>
        <w:t>，现被羁押于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北京市通州区看守所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01998BF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第一条  委托</w:t>
      </w:r>
    </w:p>
    <w:p w14:paraId="721B243C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甲方聘请乙方律师会作为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u w:val="single"/>
        </w:rPr>
        <w:t>侦查阶段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的辩护律师。</w:t>
      </w:r>
    </w:p>
    <w:p w14:paraId="3DB56205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第二条  双方的义务</w:t>
      </w:r>
    </w:p>
    <w:p w14:paraId="0B0A3074">
      <w:pPr>
        <w:spacing w:line="360" w:lineRule="auto"/>
        <w:ind w:firstLine="48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（一）甲方的义务</w:t>
      </w:r>
    </w:p>
    <w:p w14:paraId="2925080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1、真实、客观、全面向乙方律师介绍案情，为乙方律师办理案件提供力所能及的帮助； </w:t>
      </w:r>
    </w:p>
    <w:p w14:paraId="5471D31D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2、按期、足额向乙方支付辩护费及办案费。</w:t>
      </w:r>
    </w:p>
    <w:p w14:paraId="4EFBBFE7">
      <w:pPr>
        <w:spacing w:line="360" w:lineRule="auto"/>
        <w:ind w:firstLine="48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（二）乙方的义务</w:t>
      </w:r>
    </w:p>
    <w:p w14:paraId="36254D7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乙方律师接受委托后，除非由于律师所不能控制的原因，根据案件的进展，在不同阶段，根据法律规定及办案机关的安排，应分别完成以下工作：</w:t>
      </w:r>
    </w:p>
    <w:p w14:paraId="5BD37AAF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1、侦查阶段</w:t>
      </w:r>
    </w:p>
    <w:p w14:paraId="20A04D9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（1）向侦查机关了解犯罪嫌疑人涉嫌的罪名；</w:t>
      </w:r>
    </w:p>
    <w:p w14:paraId="44F030C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（2）会见犯罪嫌疑人，为犯罪嫌疑人提供法律咨询；</w:t>
      </w:r>
    </w:p>
    <w:p w14:paraId="7A8BF54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（3）维护犯罪嫌疑人的合法权益，对侵犯犯罪嫌疑人合法权益的行为代理进行控告；</w:t>
      </w:r>
    </w:p>
    <w:p w14:paraId="56358A61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（4）认为犯罪嫌疑人涉嫌的事实不成立的，向侦查机关提出申诉意见；</w:t>
      </w:r>
    </w:p>
    <w:p w14:paraId="10462A9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（5）犯罪嫌疑人被逮捕的，且符合刑事诉讼法第五十一条或者第六十条第二款的规定，律师可以为其申请取保候审。</w:t>
      </w:r>
    </w:p>
    <w:p w14:paraId="24830C98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2、审查起诉阶段</w:t>
      </w:r>
    </w:p>
    <w:p w14:paraId="26FE1510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（1）查阅、了解本案的诉讼文书、技术性鉴定材料；</w:t>
      </w:r>
    </w:p>
    <w:p w14:paraId="2372E05E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（2）会见犯罪嫌疑人；</w:t>
      </w:r>
    </w:p>
    <w:p w14:paraId="28E65C90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（3）如果认为犯罪嫌疑人有《刑事诉讼法》第十五条规定的情形之一的，应当在人民检察院听取意见时，向人民检察院反映意见。</w:t>
      </w:r>
    </w:p>
    <w:p w14:paraId="33E94384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3、一审阶段</w:t>
      </w:r>
    </w:p>
    <w:p w14:paraId="675175E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（1）查阅、了解检察机关向人民法院移送的主要证据复印件和相关材料；</w:t>
      </w:r>
    </w:p>
    <w:p w14:paraId="1BD92EF6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（2）会见被告人，了解其本人对指控的意见及对案情的叙述；</w:t>
      </w:r>
    </w:p>
    <w:p w14:paraId="210B6087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（3）按时出庭，依法为被告人进行辩护，维护被告人的合法权益。</w:t>
      </w:r>
    </w:p>
    <w:p w14:paraId="7EBF15C3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4、二审阶段</w:t>
      </w:r>
    </w:p>
    <w:p w14:paraId="6590784D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（1）查阅、了解本案的相关卷宗材料；</w:t>
      </w:r>
    </w:p>
    <w:p w14:paraId="11A5E3C4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（2）会见被告人（上诉人），了解其本人对一审判决的意见及对案情的叙述；</w:t>
      </w:r>
    </w:p>
    <w:p w14:paraId="1FDAFD7C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（3）按时出庭，依法为被告人（上诉人）进行辩护（也可能按照二审法院的审判程序，向二审法院提交书面辩护意见）。</w:t>
      </w:r>
    </w:p>
    <w:p w14:paraId="157A6D10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第三条  律师费及办案费</w:t>
      </w:r>
    </w:p>
    <w:p w14:paraId="47A9B1D3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根据本案的具体情况和复杂程度， 经双方协商同意：</w:t>
      </w:r>
    </w:p>
    <w:p w14:paraId="163C7FE2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甲方按以下第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1   </w:t>
      </w:r>
      <w:r>
        <w:rPr>
          <w:rFonts w:hint="eastAsia" w:ascii="仿宋" w:hAnsi="仿宋" w:eastAsia="仿宋"/>
          <w:sz w:val="28"/>
          <w:szCs w:val="28"/>
        </w:rPr>
        <w:t>条的规定向乙方支付律师费。</w:t>
      </w:r>
    </w:p>
    <w:p w14:paraId="0E2B7019">
      <w:pPr>
        <w:spacing w:line="360" w:lineRule="auto"/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1、本合同签订之日支付律师费人民币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0000</w:t>
      </w:r>
      <w:r>
        <w:rPr>
          <w:rFonts w:hint="eastAsia" w:ascii="仿宋" w:hAnsi="仿宋" w:eastAsia="仿宋"/>
          <w:sz w:val="28"/>
          <w:szCs w:val="28"/>
        </w:rPr>
        <w:t>元【大写：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伍</w:t>
      </w:r>
      <w:r>
        <w:rPr>
          <w:rFonts w:hint="eastAsia" w:ascii="仿宋" w:hAnsi="仿宋" w:eastAsia="仿宋"/>
          <w:sz w:val="28"/>
          <w:szCs w:val="28"/>
          <w:u w:val="single"/>
        </w:rPr>
        <w:t>万元整</w:t>
      </w:r>
      <w:r>
        <w:rPr>
          <w:rFonts w:hint="eastAsia" w:ascii="仿宋" w:hAnsi="仿宋" w:eastAsia="仿宋"/>
          <w:sz w:val="28"/>
          <w:szCs w:val="28"/>
        </w:rPr>
        <w:t>】；</w:t>
      </w:r>
    </w:p>
    <w:p w14:paraId="155E28DF">
      <w:pPr>
        <w:spacing w:line="360" w:lineRule="auto"/>
        <w:ind w:firstLine="54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2、其他约定：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无                        。</w:t>
      </w:r>
    </w:p>
    <w:p w14:paraId="5E666139">
      <w:pPr>
        <w:spacing w:line="360" w:lineRule="auto"/>
        <w:ind w:firstLine="48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办案费用：</w:t>
      </w:r>
    </w:p>
    <w:p w14:paraId="4B39211F">
      <w:pPr>
        <w:pStyle w:val="3"/>
        <w:ind w:firstLine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乙方律师办理甲方委托代理事项所发生的下列费用，应当由甲方承担：</w:t>
      </w:r>
    </w:p>
    <w:p w14:paraId="7A419867">
      <w:pPr>
        <w:pStyle w:val="3"/>
        <w:ind w:firstLine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1、相关行政、司法、鉴定、公证等部门收取的费用；</w:t>
      </w:r>
    </w:p>
    <w:p w14:paraId="010DB1E5">
      <w:pPr>
        <w:pStyle w:val="3"/>
        <w:ind w:firstLine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2、办案中的调查取证费、差旅费、翻译复印费、资料费、长途通讯费等；</w:t>
      </w:r>
    </w:p>
    <w:p w14:paraId="1E6976DB">
      <w:pPr>
        <w:pStyle w:val="3"/>
        <w:ind w:firstLine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3、征得甲方同意后支出的其它费用；</w:t>
      </w:r>
    </w:p>
    <w:p w14:paraId="0E910CB8">
      <w:pPr>
        <w:pStyle w:val="3"/>
        <w:ind w:firstLine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4、其他约定：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无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5D64AB6">
      <w:pPr>
        <w:spacing w:line="360" w:lineRule="auto"/>
        <w:ind w:firstLine="48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第四条  责任</w:t>
      </w:r>
    </w:p>
    <w:p w14:paraId="3EF61791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如果乙方无故终止履行本协议，辩护费全额退还甲方；如果甲方无故终止，辩护费不退还。</w:t>
      </w:r>
    </w:p>
    <w:p w14:paraId="74F33C62">
      <w:pPr>
        <w:spacing w:line="360" w:lineRule="auto"/>
        <w:ind w:firstLine="48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第五条  协议有效期限</w:t>
      </w:r>
    </w:p>
    <w:p w14:paraId="3E352CA9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本协议有效期限，自生效之日起至本案终结止。</w:t>
      </w:r>
    </w:p>
    <w:p w14:paraId="4962828F">
      <w:pPr>
        <w:spacing w:line="360" w:lineRule="auto"/>
        <w:ind w:firstLine="48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第六条  争议的解决</w:t>
      </w:r>
    </w:p>
    <w:p w14:paraId="140EA2B2">
      <w:pPr>
        <w:spacing w:line="360" w:lineRule="auto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在本协议履行过程中如发生争议，双方应首先友好协商解决；协商不成的，任何一方均有权向有乙方所在地人民法院提起诉讼。</w:t>
      </w:r>
    </w:p>
    <w:p w14:paraId="272B10A7">
      <w:pPr>
        <w:spacing w:line="460" w:lineRule="exact"/>
        <w:ind w:firstLine="48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  本协议一式贰份，双方各持一份，如需变更，另行协议。</w:t>
      </w:r>
    </w:p>
    <w:p w14:paraId="256EA844">
      <w:pPr>
        <w:spacing w:line="640" w:lineRule="exact"/>
        <w:jc w:val="center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【以下为签字页</w:t>
      </w:r>
      <w:r>
        <w:rPr>
          <w:rFonts w:ascii="仿宋" w:hAnsi="仿宋" w:eastAsia="仿宋" w:cs="仿宋_GB2312"/>
          <w:b/>
          <w:sz w:val="28"/>
          <w:szCs w:val="28"/>
        </w:rPr>
        <w:t>/</w:t>
      </w:r>
      <w:r>
        <w:rPr>
          <w:rFonts w:hint="eastAsia" w:ascii="仿宋" w:hAnsi="仿宋" w:eastAsia="仿宋" w:cs="仿宋_GB2312"/>
          <w:b/>
          <w:sz w:val="28"/>
          <w:szCs w:val="28"/>
        </w:rPr>
        <w:t>无正文】</w:t>
      </w:r>
    </w:p>
    <w:p w14:paraId="141039FE">
      <w:pPr>
        <w:spacing w:line="640" w:lineRule="exact"/>
        <w:jc w:val="center"/>
        <w:rPr>
          <w:rFonts w:ascii="仿宋" w:hAnsi="仿宋" w:eastAsia="仿宋" w:cs="仿宋_GB2312"/>
          <w:b/>
          <w:sz w:val="28"/>
          <w:szCs w:val="28"/>
        </w:rPr>
      </w:pPr>
    </w:p>
    <w:p w14:paraId="3AA4CA32">
      <w:pPr>
        <w:spacing w:line="640" w:lineRule="exact"/>
        <w:jc w:val="center"/>
        <w:rPr>
          <w:rFonts w:ascii="仿宋" w:hAnsi="仿宋" w:eastAsia="仿宋" w:cs="仿宋_GB2312"/>
          <w:b/>
          <w:sz w:val="28"/>
          <w:szCs w:val="28"/>
        </w:rPr>
      </w:pPr>
    </w:p>
    <w:p w14:paraId="644DCA87">
      <w:pPr>
        <w:spacing w:line="640" w:lineRule="exact"/>
        <w:ind w:right="1050" w:rightChars="500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甲</w:t>
      </w: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方：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       </w:t>
      </w:r>
    </w:p>
    <w:p w14:paraId="78F0844C">
      <w:pPr>
        <w:spacing w:line="640" w:lineRule="exact"/>
        <w:ind w:left="3092" w:right="1050" w:rightChars="500" w:hanging="3092" w:hangingChars="1100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地</w:t>
      </w: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址：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b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_GB2312"/>
          <w:b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  <w:u w:val="single"/>
        </w:rPr>
        <w:t xml:space="preserve">   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</w:t>
      </w:r>
    </w:p>
    <w:p w14:paraId="63BD4047">
      <w:pPr>
        <w:spacing w:line="640" w:lineRule="exact"/>
        <w:ind w:right="1050" w:rightChars="500"/>
        <w:rPr>
          <w:rFonts w:ascii="仿宋" w:hAnsi="仿宋" w:eastAsia="仿宋" w:cs="仿宋_GB2312"/>
          <w:b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电</w:t>
      </w:r>
      <w:r>
        <w:rPr>
          <w:rFonts w:ascii="仿宋" w:hAnsi="仿宋" w:eastAsia="仿宋" w:cs="仿宋_GB2312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sz w:val="28"/>
          <w:szCs w:val="28"/>
        </w:rPr>
        <w:t>话：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_GB2312"/>
          <w:b/>
          <w:sz w:val="28"/>
          <w:szCs w:val="28"/>
          <w:u w:val="single"/>
        </w:rPr>
        <w:t xml:space="preserve">    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b/>
          <w:sz w:val="28"/>
          <w:szCs w:val="28"/>
          <w:u w:val="single"/>
        </w:rPr>
        <w:t xml:space="preserve">                      </w:t>
      </w:r>
    </w:p>
    <w:p w14:paraId="29E2911A">
      <w:pPr>
        <w:spacing w:line="640" w:lineRule="exact"/>
        <w:ind w:right="1050" w:rightChars="500"/>
        <w:rPr>
          <w:rFonts w:ascii="仿宋" w:hAnsi="仿宋" w:eastAsia="仿宋" w:cs="仿宋_GB2312"/>
          <w:b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邮    箱：</w:t>
      </w:r>
      <w:r>
        <w:rPr>
          <w:rFonts w:ascii="仿宋" w:hAnsi="仿宋" w:eastAsia="仿宋" w:cs="仿宋_GB2312"/>
          <w:b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_GB2312"/>
          <w:b/>
          <w:sz w:val="28"/>
          <w:szCs w:val="28"/>
          <w:u w:val="single"/>
        </w:rPr>
        <w:t xml:space="preserve">                         </w:t>
      </w:r>
    </w:p>
    <w:p w14:paraId="6F72AA12">
      <w:pPr>
        <w:spacing w:line="640" w:lineRule="exact"/>
        <w:rPr>
          <w:rFonts w:ascii="仿宋" w:hAnsi="仿宋" w:eastAsia="仿宋" w:cs="仿宋_GB2312"/>
          <w:b/>
          <w:sz w:val="28"/>
          <w:szCs w:val="28"/>
        </w:rPr>
      </w:pPr>
    </w:p>
    <w:p w14:paraId="35BAF9CB">
      <w:pPr>
        <w:spacing w:line="640" w:lineRule="exact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乙</w:t>
      </w:r>
      <w:r>
        <w:rPr>
          <w:rFonts w:ascii="仿宋" w:hAnsi="仿宋" w:eastAsia="仿宋" w:cs="仿宋_GB2312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方：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北京凯耀律师事务所（盖章处）</w:t>
      </w:r>
    </w:p>
    <w:p w14:paraId="528E8239">
      <w:pPr>
        <w:spacing w:line="640" w:lineRule="exact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授权代表：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 xml:space="preserve">                            </w:t>
      </w:r>
    </w:p>
    <w:p w14:paraId="1BBA837F">
      <w:pPr>
        <w:spacing w:line="640" w:lineRule="exact"/>
        <w:ind w:left="1687" w:hanging="1687" w:hangingChars="600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地</w:t>
      </w:r>
      <w:r>
        <w:rPr>
          <w:rFonts w:ascii="仿宋" w:hAnsi="仿宋" w:eastAsia="仿宋" w:cs="仿宋_GB2312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址：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北京市朝阳区建国路93号院万达广场10号楼1706</w:t>
      </w:r>
    </w:p>
    <w:p w14:paraId="1FFFE481">
      <w:pPr>
        <w:spacing w:line="640" w:lineRule="exact"/>
        <w:ind w:left="1687" w:hanging="1687" w:hangingChars="600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邮    编：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100020</w:t>
      </w:r>
    </w:p>
    <w:p w14:paraId="5C0FA93A">
      <w:pPr>
        <w:spacing w:line="640" w:lineRule="exact"/>
        <w:ind w:left="1687" w:hanging="1687" w:hangingChars="600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电</w:t>
      </w:r>
      <w:r>
        <w:rPr>
          <w:rFonts w:ascii="仿宋" w:hAnsi="仿宋" w:eastAsia="仿宋" w:cs="仿宋_GB2312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话：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010-</w:t>
      </w:r>
      <w:r>
        <w:rPr>
          <w:rStyle w:val="17"/>
          <w:rFonts w:hint="eastAsia" w:ascii="仿宋" w:hAnsi="仿宋" w:eastAsia="仿宋" w:cs="仿宋"/>
          <w:b/>
          <w:bCs/>
          <w:sz w:val="28"/>
          <w:szCs w:val="28"/>
          <w:u w:val="single"/>
        </w:rPr>
        <w:t>58203165</w:t>
      </w:r>
    </w:p>
    <w:p w14:paraId="6CA02F62">
      <w:pPr>
        <w:spacing w:line="640" w:lineRule="exact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招商银行北京分行光华路支行</w:t>
      </w:r>
    </w:p>
    <w:p w14:paraId="7A446978">
      <w:pPr>
        <w:spacing w:line="640" w:lineRule="exact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帐    号：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1109-2286-4110-801</w:t>
      </w:r>
    </w:p>
    <w:p w14:paraId="61F82669">
      <w:pPr>
        <w:spacing w:line="640" w:lineRule="exact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</w:p>
    <w:p w14:paraId="5FFA0581">
      <w:pPr>
        <w:spacing w:line="640" w:lineRule="exact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本合同签署地点：</w:t>
      </w:r>
      <w:r>
        <w:rPr>
          <w:rFonts w:ascii="仿宋" w:hAnsi="仿宋" w:eastAsia="仿宋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北京市朝阳区</w:t>
      </w:r>
      <w:r>
        <w:rPr>
          <w:rFonts w:ascii="仿宋" w:hAnsi="仿宋" w:eastAsia="仿宋" w:cs="仿宋_GB2312"/>
          <w:b/>
          <w:bCs/>
          <w:sz w:val="28"/>
          <w:szCs w:val="28"/>
          <w:u w:val="single"/>
        </w:rPr>
        <w:t xml:space="preserve">   </w:t>
      </w:r>
    </w:p>
    <w:p w14:paraId="5F7D123A">
      <w:pPr>
        <w:spacing w:line="640" w:lineRule="exact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本合同签署时间：</w:t>
      </w:r>
      <w:r>
        <w:rPr>
          <w:rFonts w:ascii="仿宋" w:hAnsi="仿宋" w:eastAsia="仿宋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年</w:t>
      </w:r>
      <w:r>
        <w:rPr>
          <w:rFonts w:ascii="仿宋" w:hAnsi="仿宋" w:eastAsia="仿宋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 xml:space="preserve">    </w:t>
      </w:r>
      <w:r>
        <w:rPr>
          <w:rFonts w:ascii="仿宋" w:hAnsi="仿宋" w:eastAsia="仿宋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月</w:t>
      </w:r>
      <w:r>
        <w:rPr>
          <w:rFonts w:ascii="仿宋" w:hAnsi="仿宋" w:eastAsia="仿宋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日</w:t>
      </w:r>
    </w:p>
    <w:p w14:paraId="5CE6523C">
      <w:pPr>
        <w:adjustRightInd w:val="0"/>
        <w:snapToGrid w:val="0"/>
        <w:spacing w:line="360" w:lineRule="auto"/>
        <w:ind w:right="1050" w:rightChars="500"/>
        <w:rPr>
          <w:rFonts w:ascii="仿宋" w:hAnsi="仿宋" w:eastAsia="仿宋" w:cs="仿宋_GB2312"/>
          <w:b/>
          <w:bCs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G Times (WN)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92221">
    <w:pPr>
      <w:pStyle w:val="5"/>
      <w:jc w:val="center"/>
    </w:pPr>
    <w:r>
      <w:rPr>
        <w:rFonts w:hint="eastAsia"/>
        <w:b/>
      </w:rPr>
      <w:t>【第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rFonts w:hint="eastAsia"/>
        <w:b/>
      </w:rPr>
      <w:t>页</w:t>
    </w:r>
    <w:r>
      <w:rPr>
        <w:lang w:val="zh-CN"/>
      </w:rPr>
      <w:t xml:space="preserve"> </w:t>
    </w:r>
    <w:r>
      <w:rPr>
        <w:rFonts w:hint="eastAsia"/>
        <w:lang w:val="zh-CN"/>
      </w:rPr>
      <w:t>】</w:t>
    </w:r>
    <w:r>
      <w:rPr>
        <w:lang w:val="zh-CN"/>
      </w:rPr>
      <w:t>/</w:t>
    </w:r>
    <w:r>
      <w:rPr>
        <w:rFonts w:hint="eastAsia"/>
        <w:lang w:val="zh-CN"/>
      </w:rPr>
      <w:t>【共</w:t>
    </w:r>
    <w:r>
      <w:rPr>
        <w:rFonts w:hint="eastAsia"/>
        <w:b/>
      </w:rPr>
      <w:t>5页】</w:t>
    </w:r>
  </w:p>
  <w:p w14:paraId="758FFAFC">
    <w:pPr>
      <w:pStyle w:val="5"/>
      <w:ind w:right="1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BDCFD">
    <w:pPr>
      <w:pStyle w:val="13"/>
      <w:pBdr>
        <w:bottom w:val="single" w:color="auto" w:sz="4" w:space="0"/>
      </w:pBdr>
      <w:tabs>
        <w:tab w:val="right" w:pos="8280"/>
      </w:tabs>
      <w:jc w:val="left"/>
      <w:rPr>
        <w:rFonts w:ascii="宋体" w:hAnsi="宋体" w:eastAsia="宋体"/>
      </w:rPr>
    </w:pPr>
    <w:r>
      <w:rPr>
        <w:rFonts w:ascii="宋体" w:hAnsi="宋体" w:eastAsia="宋体"/>
      </w:rPr>
      <w:drawing>
        <wp:inline distT="0" distB="0" distL="0" distR="0">
          <wp:extent cx="190500" cy="152400"/>
          <wp:effectExtent l="1905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/>
        <w:b/>
      </w:rPr>
      <w:t>凯耀律所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lN2I2MmNjYjQ2ZjlmM2Y3MmYyMzVjMzk1MDhkNTUifQ=="/>
  </w:docVars>
  <w:rsids>
    <w:rsidRoot w:val="00B60CBB"/>
    <w:rsid w:val="00056A53"/>
    <w:rsid w:val="00057EE2"/>
    <w:rsid w:val="0006237D"/>
    <w:rsid w:val="00073F0E"/>
    <w:rsid w:val="00080557"/>
    <w:rsid w:val="000D0CD8"/>
    <w:rsid w:val="00144042"/>
    <w:rsid w:val="00153D69"/>
    <w:rsid w:val="00162D5D"/>
    <w:rsid w:val="001C3E11"/>
    <w:rsid w:val="001D01F6"/>
    <w:rsid w:val="001F57E9"/>
    <w:rsid w:val="00210A3B"/>
    <w:rsid w:val="002305A3"/>
    <w:rsid w:val="002877FA"/>
    <w:rsid w:val="00294480"/>
    <w:rsid w:val="003527EC"/>
    <w:rsid w:val="00373266"/>
    <w:rsid w:val="003C7F59"/>
    <w:rsid w:val="003F5DB2"/>
    <w:rsid w:val="00471851"/>
    <w:rsid w:val="0048644D"/>
    <w:rsid w:val="004A6CA9"/>
    <w:rsid w:val="004B64A1"/>
    <w:rsid w:val="004B69DB"/>
    <w:rsid w:val="004D54FC"/>
    <w:rsid w:val="00541407"/>
    <w:rsid w:val="005662BF"/>
    <w:rsid w:val="00584659"/>
    <w:rsid w:val="00587D5A"/>
    <w:rsid w:val="005B4A1E"/>
    <w:rsid w:val="005D15A9"/>
    <w:rsid w:val="005F29B8"/>
    <w:rsid w:val="0062277C"/>
    <w:rsid w:val="00635C3F"/>
    <w:rsid w:val="006759C9"/>
    <w:rsid w:val="00691E70"/>
    <w:rsid w:val="006C007B"/>
    <w:rsid w:val="006F1139"/>
    <w:rsid w:val="00737EDB"/>
    <w:rsid w:val="00777390"/>
    <w:rsid w:val="00845F2F"/>
    <w:rsid w:val="008A106C"/>
    <w:rsid w:val="008F33CF"/>
    <w:rsid w:val="009204D0"/>
    <w:rsid w:val="00924874"/>
    <w:rsid w:val="00926960"/>
    <w:rsid w:val="00995F38"/>
    <w:rsid w:val="009A435C"/>
    <w:rsid w:val="009C4777"/>
    <w:rsid w:val="00A157B2"/>
    <w:rsid w:val="00A340BA"/>
    <w:rsid w:val="00A53CE6"/>
    <w:rsid w:val="00A632D6"/>
    <w:rsid w:val="00A73587"/>
    <w:rsid w:val="00A74FDE"/>
    <w:rsid w:val="00A81168"/>
    <w:rsid w:val="00A95B74"/>
    <w:rsid w:val="00AB03B3"/>
    <w:rsid w:val="00AC2FC7"/>
    <w:rsid w:val="00AE147E"/>
    <w:rsid w:val="00B60CBB"/>
    <w:rsid w:val="00B70E7E"/>
    <w:rsid w:val="00BA3683"/>
    <w:rsid w:val="00BA450C"/>
    <w:rsid w:val="00BF5D69"/>
    <w:rsid w:val="00C267CE"/>
    <w:rsid w:val="00CC7437"/>
    <w:rsid w:val="00CE6A1B"/>
    <w:rsid w:val="00CF5EE0"/>
    <w:rsid w:val="00D12CC7"/>
    <w:rsid w:val="00D26676"/>
    <w:rsid w:val="00D46148"/>
    <w:rsid w:val="00D717CD"/>
    <w:rsid w:val="00DC4B58"/>
    <w:rsid w:val="00DF15D7"/>
    <w:rsid w:val="00DF5F44"/>
    <w:rsid w:val="00E251C4"/>
    <w:rsid w:val="00E37F89"/>
    <w:rsid w:val="00E57377"/>
    <w:rsid w:val="00E772BB"/>
    <w:rsid w:val="00EE0381"/>
    <w:rsid w:val="00F25AA0"/>
    <w:rsid w:val="00F31E80"/>
    <w:rsid w:val="00F47F4C"/>
    <w:rsid w:val="00F550F6"/>
    <w:rsid w:val="00FA449F"/>
    <w:rsid w:val="00FE290A"/>
    <w:rsid w:val="049E40B3"/>
    <w:rsid w:val="1CF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spacing w:line="360" w:lineRule="auto"/>
      <w:ind w:firstLine="480"/>
    </w:pPr>
    <w:rPr>
      <w:rFonts w:ascii="仿宋_GB2312" w:eastAsia="仿宋_GB2312"/>
      <w:sz w:val="24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Char"/>
    <w:basedOn w:val="8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  <w:style w:type="paragraph" w:customStyle="1" w:styleId="13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imes New Roman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英 文 格 式"/>
    <w:basedOn w:val="1"/>
    <w:qFormat/>
    <w:uiPriority w:val="0"/>
    <w:pPr>
      <w:autoSpaceDE w:val="0"/>
      <w:autoSpaceDN w:val="0"/>
      <w:adjustRightInd w:val="0"/>
      <w:snapToGrid w:val="0"/>
      <w:jc w:val="left"/>
    </w:pPr>
    <w:rPr>
      <w:rFonts w:ascii="CG Times (WN)" w:hAnsi="CG Times (WN)"/>
      <w:kern w:val="0"/>
      <w:sz w:val="24"/>
      <w:szCs w:val="20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Times New Roman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页码1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bjyhls</Company>
  <Pages>5</Pages>
  <Words>390</Words>
  <Characters>407</Characters>
  <Lines>14</Lines>
  <Paragraphs>3</Paragraphs>
  <TotalTime>5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2021-03-18T02:22:00Z</dcterms:created>
  <dc:creator>zr</dc:creator>
  <cp:lastModifiedBy>张律师</cp:lastModifiedBy>
  <cp:lastPrinted>2022-08-13T05:56:00Z</cp:lastPrinted>
  <dcterms:modified xsi:type="dcterms:W3CDTF">2025-07-15T08:59:59Z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9B84680417F740889991371931F8EE82_12</vt:lpwstr>
  </property>
  <property fmtid="{D5CDD505-2E9C-101B-9397-08002B2CF9AE}" pid="4" name="KSOTemplateDocerSaveRecord">
    <vt:lpwstr>eyJoZGlkIjoiN2M0ZWQxYTRmNGFmY2RmZjc5OGU4YWRiMTQyNGYyODQiLCJ1c2VySWQiOiI0NjE3MzA2NjUifQ==</vt:lpwstr>
  </property>
</Properties>
</file>